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CEC" w:rsidRPr="001D6E23" w:rsidRDefault="00040CEB" w:rsidP="00ED30A3">
      <w:pPr>
        <w:tabs>
          <w:tab w:val="left" w:pos="110"/>
          <w:tab w:val="left" w:pos="3340"/>
          <w:tab w:val="right" w:pos="10780"/>
        </w:tabs>
        <w:rPr>
          <w:sz w:val="18"/>
        </w:rPr>
      </w:pPr>
      <w:r w:rsidRPr="001D6E23">
        <w:rPr>
          <w:sz w:val="14"/>
        </w:rPr>
        <w:t>(Slip Opinion)</w:t>
      </w:r>
      <w:r w:rsidRPr="001D6E23">
        <w:rPr>
          <w:sz w:val="14"/>
        </w:rPr>
        <w:tab/>
      </w:r>
      <w:r w:rsidRPr="001D6E23">
        <w:rPr>
          <w:sz w:val="18"/>
        </w:rPr>
        <w:t>OCTOBER TERM, 2017</w:t>
      </w:r>
      <w:r w:rsidRPr="001D6E23">
        <w:rPr>
          <w:sz w:val="18"/>
        </w:rPr>
        <w:tab/>
        <w:t>1</w:t>
      </w:r>
    </w:p>
    <w:p w:rsidR="00521CEC" w:rsidRPr="001D6E23" w:rsidRDefault="00040CEB" w:rsidP="00135255">
      <w:pPr>
        <w:tabs>
          <w:tab w:val="left" w:pos="110"/>
        </w:tabs>
        <w:jc w:val="center"/>
        <w:rPr>
          <w:sz w:val="18"/>
        </w:rPr>
      </w:pPr>
      <w:r w:rsidRPr="001D6E23">
        <w:rPr>
          <w:sz w:val="18"/>
        </w:rPr>
        <w:t>Syllabus</w:t>
      </w:r>
    </w:p>
    <w:p w:rsidR="00521CEC" w:rsidRPr="001D6E23" w:rsidRDefault="00521CEC" w:rsidP="00135255">
      <w:pPr>
        <w:pStyle w:val="BodyText"/>
        <w:tabs>
          <w:tab w:val="left" w:pos="110"/>
        </w:tabs>
        <w:rPr>
          <w:sz w:val="17"/>
        </w:rPr>
      </w:pPr>
    </w:p>
    <w:p w:rsidR="00521CEC" w:rsidRPr="001D6E23" w:rsidRDefault="00040CEB" w:rsidP="002B3995">
      <w:pPr>
        <w:tabs>
          <w:tab w:val="left" w:pos="110"/>
        </w:tabs>
        <w:ind w:left="1430" w:right="1450" w:firstLine="330"/>
        <w:jc w:val="both"/>
        <w:rPr>
          <w:sz w:val="14"/>
        </w:rPr>
      </w:pPr>
      <w:r w:rsidRPr="001D6E23">
        <w:rPr>
          <w:sz w:val="14"/>
        </w:rPr>
        <w:t>NOTE: Where it is feasible, a syllabus (headnote) will be released, as is being done in connection with this case, at the time the opinion is issued</w:t>
      </w:r>
      <w:r w:rsidR="00ED30A3" w:rsidRPr="001D6E23">
        <w:rPr>
          <w:sz w:val="14"/>
        </w:rPr>
        <w:t xml:space="preserve">.  </w:t>
      </w:r>
      <w:r w:rsidRPr="001D6E23">
        <w:rPr>
          <w:sz w:val="14"/>
        </w:rPr>
        <w:t>The syllabus constitutes no part of the opinion of the Court but has been prepared by the Reporter of Decisions for the convenience of the reader</w:t>
      </w:r>
      <w:r w:rsidR="00ED30A3" w:rsidRPr="001D6E23">
        <w:rPr>
          <w:sz w:val="14"/>
        </w:rPr>
        <w:t xml:space="preserve">.  </w:t>
      </w:r>
      <w:r w:rsidRPr="001D6E23">
        <w:rPr>
          <w:sz w:val="14"/>
        </w:rPr>
        <w:t xml:space="preserve">See </w:t>
      </w:r>
      <w:r w:rsidRPr="001D6E23">
        <w:rPr>
          <w:i/>
          <w:sz w:val="14"/>
        </w:rPr>
        <w:t>United States</w:t>
      </w:r>
      <w:r w:rsidR="009F4E3E" w:rsidRPr="001D6E23">
        <w:rPr>
          <w:i/>
          <w:sz w:val="14"/>
        </w:rPr>
        <w:t xml:space="preserve"> v. </w:t>
      </w:r>
      <w:r w:rsidRPr="001D6E23">
        <w:rPr>
          <w:i/>
          <w:sz w:val="14"/>
        </w:rPr>
        <w:t xml:space="preserve">Detroit Timber &amp; Lumber Co., </w:t>
      </w:r>
      <w:r w:rsidRPr="001D6E23">
        <w:rPr>
          <w:sz w:val="14"/>
        </w:rPr>
        <w:t xml:space="preserve">200 </w:t>
      </w:r>
      <w:r w:rsidR="009F4E3E" w:rsidRPr="001D6E23">
        <w:rPr>
          <w:sz w:val="14"/>
        </w:rPr>
        <w:t xml:space="preserve">U. S. </w:t>
      </w:r>
      <w:r w:rsidRPr="001D6E23">
        <w:rPr>
          <w:sz w:val="14"/>
        </w:rPr>
        <w:t>321, 337.</w:t>
      </w:r>
    </w:p>
    <w:p w:rsidR="009552B3" w:rsidRDefault="009552B3" w:rsidP="002B3995">
      <w:pPr>
        <w:pStyle w:val="Heading1"/>
        <w:tabs>
          <w:tab w:val="left" w:pos="110"/>
        </w:tabs>
        <w:spacing w:before="0"/>
        <w:ind w:left="0" w:right="0"/>
      </w:pPr>
    </w:p>
    <w:p w:rsidR="00521CEC" w:rsidRPr="001D6E23" w:rsidRDefault="00040CEB" w:rsidP="002B3995">
      <w:pPr>
        <w:pStyle w:val="Heading1"/>
        <w:tabs>
          <w:tab w:val="left" w:pos="110"/>
        </w:tabs>
        <w:spacing w:before="0"/>
        <w:ind w:left="0" w:right="0"/>
      </w:pPr>
      <w:r w:rsidRPr="001D6E23">
        <w:t>SUPREME COURT OF THE UNITED STATES</w:t>
      </w:r>
    </w:p>
    <w:p w:rsidR="00521CEC" w:rsidRPr="001D6E23" w:rsidRDefault="00521CEC" w:rsidP="00135255">
      <w:pPr>
        <w:pStyle w:val="BodyText"/>
        <w:tabs>
          <w:tab w:val="left" w:pos="110"/>
        </w:tabs>
        <w:rPr>
          <w:rFonts w:ascii="Times New Roman"/>
          <w:b/>
          <w:sz w:val="31"/>
        </w:rPr>
      </w:pPr>
    </w:p>
    <w:p w:rsidR="00521CEC" w:rsidRPr="001D6E23" w:rsidRDefault="00040CEB" w:rsidP="00135255">
      <w:pPr>
        <w:tabs>
          <w:tab w:val="left" w:pos="110"/>
        </w:tabs>
        <w:jc w:val="center"/>
        <w:rPr>
          <w:sz w:val="18"/>
        </w:rPr>
      </w:pPr>
      <w:r w:rsidRPr="001D6E23">
        <w:rPr>
          <w:sz w:val="18"/>
        </w:rPr>
        <w:t>Syllabus</w:t>
      </w:r>
    </w:p>
    <w:p w:rsidR="00521CEC" w:rsidRPr="001D6E23" w:rsidRDefault="00521CEC" w:rsidP="00135255">
      <w:pPr>
        <w:pStyle w:val="BodyText"/>
        <w:tabs>
          <w:tab w:val="left" w:pos="110"/>
        </w:tabs>
        <w:rPr>
          <w:sz w:val="21"/>
        </w:rPr>
      </w:pPr>
    </w:p>
    <w:p w:rsidR="00521CEC" w:rsidRPr="001D6E23" w:rsidRDefault="00040CEB" w:rsidP="00135255">
      <w:pPr>
        <w:pStyle w:val="BodyText"/>
        <w:tabs>
          <w:tab w:val="left" w:pos="110"/>
        </w:tabs>
        <w:jc w:val="center"/>
        <w:rPr>
          <w:i/>
        </w:rPr>
      </w:pPr>
      <w:proofErr w:type="gramStart"/>
      <w:r w:rsidRPr="001D6E23">
        <w:t xml:space="preserve">MASTERPIECE CAKESHOP, LTD., </w:t>
      </w:r>
      <w:r w:rsidRPr="001D6E23">
        <w:rPr>
          <w:sz w:val="18"/>
        </w:rPr>
        <w:t>ET AL</w:t>
      </w:r>
      <w:r w:rsidR="00ED30A3" w:rsidRPr="001D6E23">
        <w:t>.</w:t>
      </w:r>
      <w:proofErr w:type="gramEnd"/>
      <w:r w:rsidR="00ED30A3" w:rsidRPr="001D6E23">
        <w:t xml:space="preserve">  </w:t>
      </w:r>
      <w:proofErr w:type="gramStart"/>
      <w:r w:rsidRPr="001D6E23">
        <w:rPr>
          <w:i/>
        </w:rPr>
        <w:t>v</w:t>
      </w:r>
      <w:proofErr w:type="gramEnd"/>
      <w:r w:rsidRPr="001D6E23">
        <w:rPr>
          <w:i/>
        </w:rPr>
        <w:t>.</w:t>
      </w:r>
    </w:p>
    <w:p w:rsidR="002B3995" w:rsidRDefault="00040CEB" w:rsidP="00135255">
      <w:pPr>
        <w:tabs>
          <w:tab w:val="left" w:pos="110"/>
        </w:tabs>
        <w:jc w:val="center"/>
      </w:pPr>
      <w:r w:rsidRPr="001D6E23">
        <w:t xml:space="preserve">COLORADO CIVIL RIGHTS COMMISSION </w:t>
      </w:r>
      <w:r w:rsidRPr="001D6E23">
        <w:rPr>
          <w:sz w:val="18"/>
        </w:rPr>
        <w:t>ET AL</w:t>
      </w:r>
      <w:r w:rsidR="00ED30A3" w:rsidRPr="001D6E23">
        <w:t xml:space="preserve">.  </w:t>
      </w:r>
    </w:p>
    <w:p w:rsidR="00521CEC" w:rsidRPr="001D6E23" w:rsidRDefault="00040CEB" w:rsidP="00135255">
      <w:pPr>
        <w:tabs>
          <w:tab w:val="left" w:pos="110"/>
        </w:tabs>
        <w:jc w:val="center"/>
        <w:rPr>
          <w:sz w:val="18"/>
        </w:rPr>
      </w:pPr>
      <w:r w:rsidRPr="001D6E23">
        <w:rPr>
          <w:sz w:val="18"/>
        </w:rPr>
        <w:t>CERTIORARI TO THE COURT OF APPEALS OF COLORADO</w:t>
      </w:r>
    </w:p>
    <w:p w:rsidR="00521CEC" w:rsidRDefault="009F4E3E" w:rsidP="009552B3">
      <w:pPr>
        <w:tabs>
          <w:tab w:val="left" w:pos="110"/>
        </w:tabs>
        <w:jc w:val="center"/>
        <w:rPr>
          <w:sz w:val="18"/>
        </w:rPr>
      </w:pPr>
      <w:r w:rsidRPr="001D6E23">
        <w:rPr>
          <w:sz w:val="18"/>
        </w:rPr>
        <w:t xml:space="preserve">No. </w:t>
      </w:r>
      <w:r w:rsidR="00040CEB" w:rsidRPr="001D6E23">
        <w:rPr>
          <w:sz w:val="18"/>
        </w:rPr>
        <w:t>16–111</w:t>
      </w:r>
      <w:r w:rsidR="00ED30A3" w:rsidRPr="001D6E23">
        <w:rPr>
          <w:sz w:val="18"/>
        </w:rPr>
        <w:t xml:space="preserve">.  </w:t>
      </w:r>
      <w:r w:rsidR="00040CEB" w:rsidRPr="001D6E23">
        <w:rPr>
          <w:sz w:val="18"/>
        </w:rPr>
        <w:t>Argued December 5, 2017—Decided June 4, 2018</w:t>
      </w:r>
    </w:p>
    <w:p w:rsidR="002B3995" w:rsidRPr="001D6E23" w:rsidRDefault="002B3995" w:rsidP="00135255">
      <w:pPr>
        <w:tabs>
          <w:tab w:val="left" w:pos="110"/>
        </w:tabs>
        <w:rPr>
          <w:sz w:val="18"/>
        </w:rPr>
      </w:pPr>
    </w:p>
    <w:p w:rsidR="009552B3" w:rsidRDefault="009552B3" w:rsidP="002B3995">
      <w:pPr>
        <w:ind w:left="330" w:hanging="330"/>
        <w:jc w:val="both"/>
        <w:rPr>
          <w:sz w:val="18"/>
        </w:rPr>
        <w:sectPr w:rsidR="009552B3" w:rsidSect="00A06F6A">
          <w:pgSz w:w="12240" w:h="15840"/>
          <w:pgMar w:top="720" w:right="800" w:bottom="720" w:left="720" w:header="720" w:footer="720" w:gutter="0"/>
          <w:cols w:space="720"/>
          <w:docGrid w:linePitch="299"/>
        </w:sectPr>
      </w:pPr>
    </w:p>
    <w:p w:rsidR="00521CEC" w:rsidRPr="001D6E23" w:rsidRDefault="00040CEB" w:rsidP="002B3995">
      <w:pPr>
        <w:ind w:left="330" w:hanging="330"/>
        <w:jc w:val="both"/>
        <w:rPr>
          <w:sz w:val="18"/>
        </w:rPr>
      </w:pPr>
      <w:r w:rsidRPr="001D6E23">
        <w:rPr>
          <w:sz w:val="18"/>
        </w:rPr>
        <w:lastRenderedPageBreak/>
        <w:t>Masterpiece Cakeshop, Ltd</w:t>
      </w:r>
      <w:proofErr w:type="gramStart"/>
      <w:r w:rsidRPr="001D6E23">
        <w:rPr>
          <w:sz w:val="18"/>
        </w:rPr>
        <w:t>.,</w:t>
      </w:r>
      <w:proofErr w:type="gramEnd"/>
      <w:r w:rsidRPr="001D6E23">
        <w:rPr>
          <w:sz w:val="18"/>
        </w:rPr>
        <w:t xml:space="preserve"> is a Colorado bakery owned and operated by Jack Phillips, an expert baker and devout Christian</w:t>
      </w:r>
      <w:r w:rsidR="00ED30A3" w:rsidRPr="001D6E23">
        <w:rPr>
          <w:sz w:val="18"/>
        </w:rPr>
        <w:t xml:space="preserve">.  </w:t>
      </w:r>
      <w:r w:rsidRPr="001D6E23">
        <w:rPr>
          <w:sz w:val="18"/>
        </w:rPr>
        <w:t xml:space="preserve">In 2012 he told a same-sex couple that he would not create a cake for their wedding celebration because of his religious opposition to same-sex marriages—marriages that Colorado did not then recognize—but that he would sell them other baked goods, </w:t>
      </w:r>
      <w:r w:rsidRPr="001D6E23">
        <w:rPr>
          <w:i/>
          <w:sz w:val="18"/>
        </w:rPr>
        <w:t xml:space="preserve">e.g., </w:t>
      </w:r>
      <w:r w:rsidRPr="001D6E23">
        <w:rPr>
          <w:sz w:val="18"/>
        </w:rPr>
        <w:t>birthday cakes</w:t>
      </w:r>
      <w:r w:rsidR="00ED30A3" w:rsidRPr="001D6E23">
        <w:rPr>
          <w:sz w:val="18"/>
        </w:rPr>
        <w:t xml:space="preserve">.  </w:t>
      </w:r>
      <w:r w:rsidRPr="001D6E23">
        <w:rPr>
          <w:sz w:val="18"/>
        </w:rPr>
        <w:t xml:space="preserve">The couple filed a charge with the Colorado Civil Rights Commission (Commission) pursuant to the Colorado Anti-Discrimination Act (CADA), which prohibits, as relevant here, discrimination based on sexual orientation in a “place of business engaged in any sales to the public and any place offering services </w:t>
      </w:r>
      <w:r w:rsidR="00353120">
        <w:rPr>
          <w:sz w:val="18"/>
        </w:rPr>
        <w:t>. . .</w:t>
      </w:r>
      <w:r w:rsidR="00ED30A3" w:rsidRPr="001D6E23">
        <w:rPr>
          <w:sz w:val="18"/>
        </w:rPr>
        <w:t xml:space="preserve">  </w:t>
      </w:r>
      <w:r w:rsidRPr="001D6E23">
        <w:rPr>
          <w:sz w:val="18"/>
        </w:rPr>
        <w:t>to the public.</w:t>
      </w:r>
      <w:r w:rsidR="00ED30A3" w:rsidRPr="001D6E23">
        <w:rPr>
          <w:sz w:val="18"/>
        </w:rPr>
        <w:t xml:space="preserve">”  </w:t>
      </w:r>
      <w:r w:rsidRPr="001D6E23">
        <w:rPr>
          <w:sz w:val="18"/>
        </w:rPr>
        <w:t>Under CADA’s administrative review system, the Colorado Civil Rights Division first found probable cause for a violation and referred the case to the Commission</w:t>
      </w:r>
      <w:r w:rsidR="00ED30A3" w:rsidRPr="001D6E23">
        <w:rPr>
          <w:sz w:val="18"/>
        </w:rPr>
        <w:t xml:space="preserve">.  </w:t>
      </w:r>
      <w:r w:rsidRPr="001D6E23">
        <w:rPr>
          <w:sz w:val="18"/>
        </w:rPr>
        <w:t>The Commission then referred the case for a formal hearing before a state Administrative Law Judge (ALJ), who ruled in the couple’s favor</w:t>
      </w:r>
      <w:r w:rsidR="00ED30A3" w:rsidRPr="001D6E23">
        <w:rPr>
          <w:sz w:val="18"/>
        </w:rPr>
        <w:t xml:space="preserve">.  </w:t>
      </w:r>
      <w:r w:rsidRPr="001D6E23">
        <w:rPr>
          <w:sz w:val="18"/>
        </w:rPr>
        <w:t>In so doing, the ALJ rejected Phillips’ First Amendment claims: that requiring him to create a cake for a same-sex wedding would violate his right to free speech by compelling him to exercise his artistic talents to express a message with which he disagreed and would violate his right to the free exercise of religion</w:t>
      </w:r>
      <w:r w:rsidR="00ED30A3" w:rsidRPr="001D6E23">
        <w:rPr>
          <w:sz w:val="18"/>
        </w:rPr>
        <w:t xml:space="preserve">.  </w:t>
      </w:r>
      <w:r w:rsidRPr="001D6E23">
        <w:rPr>
          <w:sz w:val="18"/>
        </w:rPr>
        <w:t>Both the Commission and the Colorado Court of Appeals affirmed.</w:t>
      </w:r>
    </w:p>
    <w:p w:rsidR="00521CEC" w:rsidRPr="001D6E23" w:rsidRDefault="00040CEB" w:rsidP="00135255">
      <w:pPr>
        <w:tabs>
          <w:tab w:val="left" w:pos="110"/>
        </w:tabs>
        <w:jc w:val="both"/>
        <w:rPr>
          <w:sz w:val="18"/>
        </w:rPr>
      </w:pPr>
      <w:r w:rsidRPr="001D6E23">
        <w:rPr>
          <w:i/>
          <w:sz w:val="18"/>
        </w:rPr>
        <w:t>Held</w:t>
      </w:r>
      <w:r w:rsidRPr="001D6E23">
        <w:rPr>
          <w:sz w:val="18"/>
        </w:rPr>
        <w:t>: The Commission’s actions in this case violated the Free Exercise Clause</w:t>
      </w:r>
      <w:r w:rsidR="00ED30A3" w:rsidRPr="001D6E23">
        <w:rPr>
          <w:sz w:val="18"/>
        </w:rPr>
        <w:t xml:space="preserve">.  </w:t>
      </w:r>
      <w:proofErr w:type="gramStart"/>
      <w:r w:rsidRPr="001D6E23">
        <w:rPr>
          <w:sz w:val="18"/>
        </w:rPr>
        <w:t>Pp</w:t>
      </w:r>
      <w:r w:rsidR="00ED30A3" w:rsidRPr="001D6E23">
        <w:rPr>
          <w:sz w:val="18"/>
        </w:rPr>
        <w:t>.</w:t>
      </w:r>
      <w:proofErr w:type="gramEnd"/>
      <w:r w:rsidR="00ED30A3" w:rsidRPr="001D6E23">
        <w:rPr>
          <w:sz w:val="18"/>
        </w:rPr>
        <w:t xml:space="preserve">  </w:t>
      </w:r>
      <w:proofErr w:type="gramStart"/>
      <w:r w:rsidRPr="001D6E23">
        <w:rPr>
          <w:sz w:val="18"/>
        </w:rPr>
        <w:t>9–18.</w:t>
      </w:r>
      <w:proofErr w:type="gramEnd"/>
    </w:p>
    <w:p w:rsidR="00521CEC" w:rsidRPr="001D6E23" w:rsidRDefault="00040CEB" w:rsidP="002B3995">
      <w:pPr>
        <w:pStyle w:val="ListParagraph"/>
        <w:numPr>
          <w:ilvl w:val="0"/>
          <w:numId w:val="1"/>
        </w:numPr>
        <w:tabs>
          <w:tab w:val="left" w:pos="110"/>
          <w:tab w:val="left" w:pos="1100"/>
          <w:tab w:val="left" w:pos="2035"/>
        </w:tabs>
        <w:spacing w:before="0"/>
        <w:ind w:left="330" w:right="0" w:firstLine="440"/>
        <w:rPr>
          <w:sz w:val="18"/>
        </w:rPr>
      </w:pPr>
      <w:r w:rsidRPr="001D6E23">
        <w:rPr>
          <w:sz w:val="18"/>
        </w:rPr>
        <w:t>The laws and the Constitution can, and in some instances must, protect gay persons and gay couples in the exercise of their civil rights, but religious and philosophical objections to gay marriage are protected views and in some instances protected forms of expression</w:t>
      </w:r>
      <w:r w:rsidR="00ED30A3" w:rsidRPr="001D6E23">
        <w:rPr>
          <w:sz w:val="18"/>
        </w:rPr>
        <w:t xml:space="preserve">.  </w:t>
      </w:r>
      <w:r w:rsidRPr="001D6E23">
        <w:rPr>
          <w:sz w:val="18"/>
        </w:rPr>
        <w:t xml:space="preserve">See </w:t>
      </w:r>
      <w:r w:rsidRPr="001D6E23">
        <w:rPr>
          <w:i/>
          <w:sz w:val="18"/>
        </w:rPr>
        <w:t>Obergefell</w:t>
      </w:r>
      <w:r w:rsidR="009F4E3E" w:rsidRPr="001D6E23">
        <w:rPr>
          <w:i/>
          <w:sz w:val="18"/>
        </w:rPr>
        <w:t xml:space="preserve"> v. </w:t>
      </w:r>
      <w:r w:rsidRPr="001D6E23">
        <w:rPr>
          <w:i/>
          <w:sz w:val="18"/>
        </w:rPr>
        <w:t>Hodges</w:t>
      </w:r>
      <w:r w:rsidRPr="001D6E23">
        <w:rPr>
          <w:sz w:val="18"/>
        </w:rPr>
        <w:t>, 576 U</w:t>
      </w:r>
      <w:r w:rsidR="00ED30A3" w:rsidRPr="001D6E23">
        <w:rPr>
          <w:sz w:val="18"/>
        </w:rPr>
        <w:t xml:space="preserve">.  </w:t>
      </w:r>
      <w:r w:rsidRPr="001D6E23">
        <w:rPr>
          <w:sz w:val="18"/>
        </w:rPr>
        <w:t>S</w:t>
      </w:r>
      <w:r w:rsidR="00ED30A3" w:rsidRPr="001D6E23">
        <w:rPr>
          <w:sz w:val="18"/>
        </w:rPr>
        <w:t xml:space="preserve">.,  </w:t>
      </w:r>
      <w:r w:rsidRPr="001D6E23">
        <w:rPr>
          <w:sz w:val="18"/>
        </w:rPr>
        <w:t>While it is unexceptional</w:t>
      </w:r>
      <w:bookmarkStart w:id="0" w:name="_GoBack"/>
      <w:bookmarkEnd w:id="0"/>
    </w:p>
    <w:p w:rsidR="00521CEC" w:rsidRPr="001D6E23" w:rsidRDefault="00521CEC" w:rsidP="00135255">
      <w:pPr>
        <w:tabs>
          <w:tab w:val="left" w:pos="110"/>
        </w:tabs>
        <w:jc w:val="both"/>
        <w:rPr>
          <w:sz w:val="18"/>
        </w:rPr>
      </w:pPr>
    </w:p>
    <w:p w:rsidR="00521CEC" w:rsidRPr="001D6E23" w:rsidRDefault="00040CEB" w:rsidP="0033572F">
      <w:pPr>
        <w:tabs>
          <w:tab w:val="left" w:pos="110"/>
          <w:tab w:val="center" w:pos="2530"/>
          <w:tab w:val="center" w:pos="5390"/>
        </w:tabs>
        <w:rPr>
          <w:sz w:val="18"/>
        </w:rPr>
      </w:pPr>
      <w:r w:rsidRPr="001D6E23">
        <w:rPr>
          <w:sz w:val="18"/>
        </w:rPr>
        <w:t>2</w:t>
      </w:r>
      <w:r w:rsidR="003605CE">
        <w:rPr>
          <w:sz w:val="18"/>
        </w:rPr>
        <w:t xml:space="preserve"> </w:t>
      </w:r>
      <w:r w:rsidR="00A06F6A">
        <w:rPr>
          <w:sz w:val="18"/>
        </w:rPr>
        <w:tab/>
      </w:r>
      <w:r w:rsidRPr="001D6E23">
        <w:rPr>
          <w:sz w:val="18"/>
        </w:rPr>
        <w:t>MASTERPIECE CAKESHOP, LTD</w:t>
      </w:r>
      <w:r w:rsidR="009F4E3E" w:rsidRPr="001D6E23">
        <w:rPr>
          <w:sz w:val="18"/>
        </w:rPr>
        <w:t xml:space="preserve">. v. </w:t>
      </w:r>
      <w:r w:rsidRPr="001D6E23">
        <w:rPr>
          <w:sz w:val="18"/>
        </w:rPr>
        <w:t>COLORADO</w:t>
      </w:r>
    </w:p>
    <w:p w:rsidR="00521CEC" w:rsidRPr="001D6E23" w:rsidRDefault="00040CEB" w:rsidP="00135255">
      <w:pPr>
        <w:tabs>
          <w:tab w:val="left" w:pos="110"/>
        </w:tabs>
        <w:jc w:val="center"/>
        <w:rPr>
          <w:sz w:val="18"/>
        </w:rPr>
      </w:pPr>
      <w:r w:rsidRPr="001D6E23">
        <w:rPr>
          <w:sz w:val="18"/>
        </w:rPr>
        <w:t>CIVIL RIGHTS COMM’N</w:t>
      </w:r>
    </w:p>
    <w:p w:rsidR="00521CEC" w:rsidRPr="001D6E23" w:rsidRDefault="00040CEB" w:rsidP="00135255">
      <w:pPr>
        <w:tabs>
          <w:tab w:val="left" w:pos="110"/>
        </w:tabs>
        <w:jc w:val="center"/>
        <w:rPr>
          <w:sz w:val="18"/>
        </w:rPr>
      </w:pPr>
      <w:r w:rsidRPr="001D6E23">
        <w:rPr>
          <w:sz w:val="18"/>
        </w:rPr>
        <w:t>Syllabus</w:t>
      </w:r>
    </w:p>
    <w:p w:rsidR="00521CEC" w:rsidRPr="001D6E23" w:rsidRDefault="009F4E3E" w:rsidP="00A06F6A">
      <w:pPr>
        <w:ind w:left="330"/>
        <w:jc w:val="both"/>
        <w:rPr>
          <w:sz w:val="18"/>
        </w:rPr>
      </w:pPr>
      <w:proofErr w:type="gramStart"/>
      <w:r w:rsidRPr="001D6E23">
        <w:rPr>
          <w:sz w:val="18"/>
        </w:rPr>
        <w:t>tha</w:t>
      </w:r>
      <w:r w:rsidR="00ED30A3" w:rsidRPr="001D6E23">
        <w:rPr>
          <w:sz w:val="18"/>
        </w:rPr>
        <w:t>t</w:t>
      </w:r>
      <w:proofErr w:type="gramEnd"/>
      <w:r w:rsidR="00040CEB" w:rsidRPr="001D6E23">
        <w:rPr>
          <w:sz w:val="18"/>
        </w:rPr>
        <w:t xml:space="preserve"> Colorado law can protect gay persons in acquiring products and services on the same terms and conditions as are offered to other members of the public, the law must be applied in a manner that is neutral toward religion</w:t>
      </w:r>
      <w:r w:rsidR="00ED30A3" w:rsidRPr="001D6E23">
        <w:rPr>
          <w:sz w:val="18"/>
        </w:rPr>
        <w:t xml:space="preserve">.  </w:t>
      </w:r>
      <w:r w:rsidR="00040CEB" w:rsidRPr="001D6E23">
        <w:rPr>
          <w:sz w:val="18"/>
        </w:rPr>
        <w:t>To Phillips, his claim that using his artistic skills to make an expressive statement, a wedding endorsement in his own voice and of his own creation, has a significant First Amendment speech component and implicates his deep and sincere religious beliefs</w:t>
      </w:r>
      <w:r w:rsidR="00ED30A3" w:rsidRPr="001D6E23">
        <w:rPr>
          <w:sz w:val="18"/>
        </w:rPr>
        <w:t xml:space="preserve">.  </w:t>
      </w:r>
      <w:r w:rsidR="00040CEB" w:rsidRPr="001D6E23">
        <w:rPr>
          <w:sz w:val="18"/>
        </w:rPr>
        <w:t xml:space="preserve">His dilemma was understandable in 2012, which was before Colorado recognized the validity of gay marriages performed in the State and before this Court issued </w:t>
      </w:r>
      <w:r w:rsidR="00040CEB" w:rsidRPr="001D6E23">
        <w:rPr>
          <w:i/>
          <w:sz w:val="18"/>
        </w:rPr>
        <w:t>United States</w:t>
      </w:r>
      <w:r w:rsidRPr="001D6E23">
        <w:rPr>
          <w:i/>
          <w:sz w:val="18"/>
        </w:rPr>
        <w:t xml:space="preserve"> v. </w:t>
      </w:r>
      <w:r w:rsidR="00040CEB" w:rsidRPr="001D6E23">
        <w:rPr>
          <w:i/>
          <w:sz w:val="18"/>
        </w:rPr>
        <w:t>Windsor</w:t>
      </w:r>
      <w:r w:rsidR="00040CEB" w:rsidRPr="001D6E23">
        <w:rPr>
          <w:sz w:val="18"/>
        </w:rPr>
        <w:t xml:space="preserve">, 570 </w:t>
      </w:r>
      <w:r w:rsidRPr="001D6E23">
        <w:rPr>
          <w:sz w:val="18"/>
        </w:rPr>
        <w:t xml:space="preserve">U. S. </w:t>
      </w:r>
      <w:r w:rsidR="00040CEB" w:rsidRPr="001D6E23">
        <w:rPr>
          <w:sz w:val="18"/>
        </w:rPr>
        <w:t xml:space="preserve">744, or </w:t>
      </w:r>
      <w:r w:rsidR="00040CEB" w:rsidRPr="001D6E23">
        <w:rPr>
          <w:i/>
          <w:sz w:val="18"/>
        </w:rPr>
        <w:t>Obergefell</w:t>
      </w:r>
      <w:r w:rsidR="00ED30A3" w:rsidRPr="001D6E23">
        <w:rPr>
          <w:sz w:val="18"/>
        </w:rPr>
        <w:t xml:space="preserve">.  </w:t>
      </w:r>
      <w:r w:rsidR="00040CEB" w:rsidRPr="001D6E23">
        <w:rPr>
          <w:sz w:val="18"/>
        </w:rPr>
        <w:t>Given the State’s position at the time, there is some force to Phillips’ argument that he was not unreasonable in deeming his decision lawful</w:t>
      </w:r>
      <w:r w:rsidR="00ED30A3" w:rsidRPr="001D6E23">
        <w:rPr>
          <w:sz w:val="18"/>
        </w:rPr>
        <w:t xml:space="preserve">.  </w:t>
      </w:r>
      <w:r w:rsidR="00040CEB" w:rsidRPr="001D6E23">
        <w:rPr>
          <w:sz w:val="18"/>
        </w:rPr>
        <w:t xml:space="preserve">State law at the time also afforded storekeepers some latitude to decline to create specific </w:t>
      </w:r>
      <w:r w:rsidR="00040CEB" w:rsidRPr="001D6E23">
        <w:rPr>
          <w:sz w:val="18"/>
        </w:rPr>
        <w:lastRenderedPageBreak/>
        <w:t>messages they considered offensive</w:t>
      </w:r>
      <w:r w:rsidR="00ED30A3" w:rsidRPr="001D6E23">
        <w:rPr>
          <w:sz w:val="18"/>
        </w:rPr>
        <w:t xml:space="preserve">.  </w:t>
      </w:r>
      <w:r w:rsidR="00040CEB" w:rsidRPr="001D6E23">
        <w:rPr>
          <w:sz w:val="18"/>
        </w:rPr>
        <w:t>Indeed, while the instant enforcement proceedings were pending, the State Civil Rights Division concluded in at least three cases that a baker acted lawfully in declining to create cakes with decorations that demeaned gay persons or gay marriages</w:t>
      </w:r>
      <w:r w:rsidR="00ED30A3" w:rsidRPr="001D6E23">
        <w:rPr>
          <w:sz w:val="18"/>
        </w:rPr>
        <w:t xml:space="preserve">.  </w:t>
      </w:r>
      <w:r w:rsidR="00040CEB" w:rsidRPr="001D6E23">
        <w:rPr>
          <w:sz w:val="18"/>
        </w:rPr>
        <w:t xml:space="preserve">Phillips too was entitled to a neutral and respectful consideration of his claims in </w:t>
      </w:r>
      <w:r w:rsidR="00ED30A3" w:rsidRPr="001D6E23">
        <w:rPr>
          <w:sz w:val="18"/>
        </w:rPr>
        <w:t xml:space="preserve">all the circumstances of the case.  </w:t>
      </w:r>
      <w:proofErr w:type="gramStart"/>
      <w:r w:rsidR="00040CEB" w:rsidRPr="001D6E23">
        <w:rPr>
          <w:sz w:val="18"/>
        </w:rPr>
        <w:t>Pp</w:t>
      </w:r>
      <w:r w:rsidR="00ED30A3" w:rsidRPr="001D6E23">
        <w:rPr>
          <w:sz w:val="18"/>
        </w:rPr>
        <w:t>.</w:t>
      </w:r>
      <w:proofErr w:type="gramEnd"/>
      <w:r w:rsidR="00ED30A3" w:rsidRPr="001D6E23">
        <w:rPr>
          <w:sz w:val="18"/>
        </w:rPr>
        <w:t xml:space="preserve">  </w:t>
      </w:r>
      <w:proofErr w:type="gramStart"/>
      <w:r w:rsidR="00040CEB" w:rsidRPr="001D6E23">
        <w:rPr>
          <w:sz w:val="18"/>
        </w:rPr>
        <w:t>9–12.</w:t>
      </w:r>
      <w:proofErr w:type="gramEnd"/>
    </w:p>
    <w:p w:rsidR="00521CEC" w:rsidRPr="001D6E23" w:rsidRDefault="00040CEB" w:rsidP="002B3995">
      <w:pPr>
        <w:pStyle w:val="ListParagraph"/>
        <w:numPr>
          <w:ilvl w:val="0"/>
          <w:numId w:val="1"/>
        </w:numPr>
        <w:tabs>
          <w:tab w:val="left" w:pos="110"/>
          <w:tab w:val="left" w:pos="1100"/>
          <w:tab w:val="left" w:pos="2035"/>
        </w:tabs>
        <w:spacing w:before="0"/>
        <w:ind w:left="330" w:right="0" w:firstLine="440"/>
        <w:rPr>
          <w:sz w:val="18"/>
        </w:rPr>
      </w:pPr>
      <w:r w:rsidRPr="001D6E23">
        <w:rPr>
          <w:sz w:val="18"/>
        </w:rPr>
        <w:t>That consideration was compromised, however, by the Commission’s treatment of Phillips’ case, which showed elements of a clear and impermissible hostility toward the sincere religious beliefs motivating his objection</w:t>
      </w:r>
      <w:r w:rsidR="00ED30A3" w:rsidRPr="001D6E23">
        <w:rPr>
          <w:sz w:val="18"/>
        </w:rPr>
        <w:t xml:space="preserve">.  </w:t>
      </w:r>
      <w:r w:rsidRPr="001D6E23">
        <w:rPr>
          <w:sz w:val="18"/>
        </w:rPr>
        <w:t>As the record shows, some of the commissioners at the Commission’s formal, public hearings endorsed the view that religious beliefs cannot legitimately be carried into the public sphere or commercial domain, disparaged Phillips’ faith as despicable and characterized it as merely rhetorical, and compared his invocation of his sincerely held religious beliefs to defenses of slavery and the Holocaust</w:t>
      </w:r>
      <w:r w:rsidR="00ED30A3" w:rsidRPr="001D6E23">
        <w:rPr>
          <w:sz w:val="18"/>
        </w:rPr>
        <w:t xml:space="preserve">.  </w:t>
      </w:r>
      <w:r w:rsidRPr="001D6E23">
        <w:rPr>
          <w:sz w:val="18"/>
        </w:rPr>
        <w:t>No commissioners objected to the comments</w:t>
      </w:r>
      <w:r w:rsidR="00ED30A3" w:rsidRPr="001D6E23">
        <w:rPr>
          <w:sz w:val="18"/>
        </w:rPr>
        <w:t xml:space="preserve">.  </w:t>
      </w:r>
      <w:r w:rsidRPr="001D6E23">
        <w:rPr>
          <w:sz w:val="18"/>
        </w:rPr>
        <w:t>Nor were they mentioned in the later state-court ruling or disavowed in the briefs filed here</w:t>
      </w:r>
      <w:r w:rsidR="00ED30A3" w:rsidRPr="001D6E23">
        <w:rPr>
          <w:sz w:val="18"/>
        </w:rPr>
        <w:t xml:space="preserve">.  </w:t>
      </w:r>
      <w:r w:rsidRPr="001D6E23">
        <w:rPr>
          <w:sz w:val="18"/>
        </w:rPr>
        <w:t>The comments thus cast doubt on the fairness and impartiality of the Commission’s adjudication of Phillips’ case.</w:t>
      </w:r>
    </w:p>
    <w:p w:rsidR="00521CEC" w:rsidRPr="001D6E23" w:rsidRDefault="00040CEB" w:rsidP="00A06F6A">
      <w:pPr>
        <w:tabs>
          <w:tab w:val="left" w:pos="110"/>
        </w:tabs>
        <w:ind w:left="330" w:firstLine="440"/>
        <w:jc w:val="both"/>
        <w:rPr>
          <w:sz w:val="18"/>
        </w:rPr>
      </w:pPr>
      <w:r w:rsidRPr="001D6E23">
        <w:rPr>
          <w:sz w:val="18"/>
        </w:rPr>
        <w:t>Another indication of hostility is the different treatment of Phillips’ case and the cases of other bakers with objections to anti-gay messages who prevailed before the Commission</w:t>
      </w:r>
      <w:r w:rsidR="00ED30A3" w:rsidRPr="001D6E23">
        <w:rPr>
          <w:sz w:val="18"/>
        </w:rPr>
        <w:t xml:space="preserve">.  </w:t>
      </w:r>
      <w:r w:rsidRPr="001D6E23">
        <w:rPr>
          <w:sz w:val="18"/>
        </w:rPr>
        <w:t>The Commission ruled against Phillips in part on the theory that any message on the requested wedding cake would be attributed to the customer, not to the baker</w:t>
      </w:r>
      <w:r w:rsidR="00ED30A3" w:rsidRPr="001D6E23">
        <w:rPr>
          <w:sz w:val="18"/>
        </w:rPr>
        <w:t xml:space="preserve">.  </w:t>
      </w:r>
      <w:r w:rsidRPr="001D6E23">
        <w:rPr>
          <w:sz w:val="18"/>
        </w:rPr>
        <w:t>Yet the Division did not address this point in any of the cases involving requests for cakes depicting anti-gay marriage symbolism</w:t>
      </w:r>
      <w:r w:rsidR="00ED30A3" w:rsidRPr="001D6E23">
        <w:rPr>
          <w:sz w:val="18"/>
        </w:rPr>
        <w:t xml:space="preserve">.  </w:t>
      </w:r>
      <w:r w:rsidRPr="001D6E23">
        <w:rPr>
          <w:sz w:val="18"/>
        </w:rPr>
        <w:t>The Division also considered that each bakery was willing to sell other products to the prospective customers, but the Commission found Phillips’ willingness to do the same irrelevant</w:t>
      </w:r>
      <w:r w:rsidR="00ED30A3" w:rsidRPr="001D6E23">
        <w:rPr>
          <w:sz w:val="18"/>
        </w:rPr>
        <w:t xml:space="preserve">.  </w:t>
      </w:r>
      <w:r w:rsidRPr="001D6E23">
        <w:rPr>
          <w:sz w:val="18"/>
        </w:rPr>
        <w:t>The State Court of</w:t>
      </w:r>
    </w:p>
    <w:p w:rsidR="00521CEC" w:rsidRPr="001D6E23" w:rsidRDefault="003605CE" w:rsidP="00135255">
      <w:pPr>
        <w:tabs>
          <w:tab w:val="left" w:pos="2066"/>
        </w:tabs>
        <w:jc w:val="both"/>
        <w:rPr>
          <w:sz w:val="18"/>
        </w:rPr>
      </w:pPr>
      <w:r>
        <w:rPr>
          <w:sz w:val="18"/>
        </w:rPr>
        <w:t xml:space="preserve"> </w:t>
      </w:r>
    </w:p>
    <w:p w:rsidR="00040CEB" w:rsidRPr="001D6E23" w:rsidRDefault="00040CEB" w:rsidP="00135255">
      <w:pPr>
        <w:tabs>
          <w:tab w:val="left" w:pos="110"/>
        </w:tabs>
        <w:jc w:val="both"/>
        <w:rPr>
          <w:sz w:val="18"/>
        </w:rPr>
      </w:pPr>
    </w:p>
    <w:p w:rsidR="00521CEC" w:rsidRPr="001D6E23" w:rsidRDefault="00040CEB" w:rsidP="009F4E3E">
      <w:pPr>
        <w:tabs>
          <w:tab w:val="left" w:pos="110"/>
          <w:tab w:val="left" w:pos="5067"/>
          <w:tab w:val="right" w:pos="10780"/>
        </w:tabs>
        <w:rPr>
          <w:sz w:val="18"/>
        </w:rPr>
      </w:pPr>
      <w:r w:rsidRPr="001D6E23">
        <w:rPr>
          <w:sz w:val="18"/>
        </w:rPr>
        <w:t>Cite as:  584 U</w:t>
      </w:r>
      <w:r w:rsidR="00ED30A3" w:rsidRPr="001D6E23">
        <w:rPr>
          <w:sz w:val="18"/>
        </w:rPr>
        <w:t xml:space="preserve">. </w:t>
      </w:r>
      <w:r w:rsidRPr="001D6E23">
        <w:rPr>
          <w:sz w:val="18"/>
        </w:rPr>
        <w:t>S.</w:t>
      </w:r>
      <w:r w:rsidR="009552B3">
        <w:rPr>
          <w:sz w:val="18"/>
        </w:rPr>
        <w:t xml:space="preserve">  </w:t>
      </w:r>
      <w:r w:rsidRPr="001D6E23">
        <w:rPr>
          <w:sz w:val="18"/>
        </w:rPr>
        <w:t>(2018)</w:t>
      </w:r>
      <w:r w:rsidRPr="001D6E23">
        <w:rPr>
          <w:sz w:val="18"/>
        </w:rPr>
        <w:tab/>
        <w:t>3</w:t>
      </w:r>
    </w:p>
    <w:p w:rsidR="00521CEC" w:rsidRPr="001D6E23" w:rsidRDefault="00521CEC" w:rsidP="00135255">
      <w:pPr>
        <w:pStyle w:val="BodyText"/>
        <w:tabs>
          <w:tab w:val="left" w:pos="110"/>
        </w:tabs>
        <w:rPr>
          <w:sz w:val="21"/>
        </w:rPr>
      </w:pPr>
    </w:p>
    <w:p w:rsidR="00521CEC" w:rsidRPr="001D6E23" w:rsidRDefault="00040CEB" w:rsidP="00135255">
      <w:pPr>
        <w:tabs>
          <w:tab w:val="left" w:pos="110"/>
        </w:tabs>
        <w:jc w:val="center"/>
        <w:rPr>
          <w:sz w:val="18"/>
        </w:rPr>
      </w:pPr>
      <w:r w:rsidRPr="001D6E23">
        <w:rPr>
          <w:sz w:val="18"/>
        </w:rPr>
        <w:t>Syllabus</w:t>
      </w:r>
    </w:p>
    <w:p w:rsidR="00521CEC" w:rsidRPr="001D6E23" w:rsidRDefault="00040CEB" w:rsidP="002B3995">
      <w:pPr>
        <w:ind w:left="220"/>
        <w:jc w:val="both"/>
        <w:rPr>
          <w:sz w:val="18"/>
        </w:rPr>
      </w:pPr>
      <w:r w:rsidRPr="001D6E23">
        <w:rPr>
          <w:sz w:val="18"/>
        </w:rPr>
        <w:t>Appeals’ brief discussion of this disparity of treatment does not answer Phillips’ concern that the State’s practice was to disfavor the religious basis of his objection</w:t>
      </w:r>
      <w:r w:rsidR="00ED30A3" w:rsidRPr="001D6E23">
        <w:rPr>
          <w:sz w:val="18"/>
        </w:rPr>
        <w:t xml:space="preserve">.  </w:t>
      </w:r>
      <w:proofErr w:type="gramStart"/>
      <w:r w:rsidRPr="001D6E23">
        <w:rPr>
          <w:sz w:val="18"/>
        </w:rPr>
        <w:t>Pp</w:t>
      </w:r>
      <w:r w:rsidR="00ED30A3" w:rsidRPr="001D6E23">
        <w:rPr>
          <w:sz w:val="18"/>
        </w:rPr>
        <w:t>.</w:t>
      </w:r>
      <w:proofErr w:type="gramEnd"/>
      <w:r w:rsidR="00ED30A3" w:rsidRPr="001D6E23">
        <w:rPr>
          <w:sz w:val="18"/>
        </w:rPr>
        <w:t xml:space="preserve">  </w:t>
      </w:r>
      <w:proofErr w:type="gramStart"/>
      <w:r w:rsidRPr="001D6E23">
        <w:rPr>
          <w:sz w:val="18"/>
        </w:rPr>
        <w:t>12–16.</w:t>
      </w:r>
      <w:proofErr w:type="gramEnd"/>
    </w:p>
    <w:p w:rsidR="00521CEC" w:rsidRPr="00A06F6A" w:rsidRDefault="00040CEB" w:rsidP="00135255">
      <w:pPr>
        <w:pStyle w:val="ListParagraph"/>
        <w:numPr>
          <w:ilvl w:val="0"/>
          <w:numId w:val="1"/>
        </w:numPr>
        <w:tabs>
          <w:tab w:val="left" w:pos="110"/>
          <w:tab w:val="left" w:pos="1100"/>
          <w:tab w:val="left" w:pos="2015"/>
        </w:tabs>
        <w:spacing w:before="0"/>
        <w:ind w:left="330" w:right="0" w:firstLine="390"/>
        <w:rPr>
          <w:sz w:val="18"/>
        </w:rPr>
      </w:pPr>
      <w:r w:rsidRPr="00A06F6A">
        <w:rPr>
          <w:sz w:val="18"/>
        </w:rPr>
        <w:t>For these reasons, the Commission’s treatment of Phillips’ case violated the State’s duty under the First Amendment not to base laws or regulations on hostility to a religion or religious viewpoint</w:t>
      </w:r>
      <w:r w:rsidR="00ED30A3" w:rsidRPr="00A06F6A">
        <w:rPr>
          <w:sz w:val="18"/>
        </w:rPr>
        <w:t xml:space="preserve">.  </w:t>
      </w:r>
      <w:r w:rsidRPr="00A06F6A">
        <w:rPr>
          <w:sz w:val="18"/>
        </w:rPr>
        <w:t xml:space="preserve">The government, consistent with the Constitution’s guarantee of free exercise, cannot impose regulations that are hostile to the religious beliefs of affected citizens and cannot act in a manner that passes judgment upon or presupposes the illegitimacy of religious </w:t>
      </w:r>
      <w:r w:rsidR="00ED30A3" w:rsidRPr="00A06F6A">
        <w:rPr>
          <w:sz w:val="18"/>
        </w:rPr>
        <w:t>beliefs and</w:t>
      </w:r>
      <w:r w:rsidRPr="00A06F6A">
        <w:rPr>
          <w:sz w:val="18"/>
        </w:rPr>
        <w:t xml:space="preserve"> practices</w:t>
      </w:r>
      <w:r w:rsidR="00ED30A3" w:rsidRPr="00A06F6A">
        <w:rPr>
          <w:sz w:val="18"/>
        </w:rPr>
        <w:t xml:space="preserve">.  </w:t>
      </w:r>
      <w:r w:rsidRPr="00A06F6A">
        <w:rPr>
          <w:i/>
          <w:sz w:val="18"/>
        </w:rPr>
        <w:t>Church of Lukumi Babalu Aye, Inc</w:t>
      </w:r>
      <w:r w:rsidR="00ED30A3" w:rsidRPr="00A06F6A">
        <w:rPr>
          <w:i/>
          <w:sz w:val="18"/>
        </w:rPr>
        <w:t>.</w:t>
      </w:r>
      <w:r w:rsidR="009F4E3E" w:rsidRPr="00A06F6A">
        <w:rPr>
          <w:i/>
          <w:sz w:val="18"/>
        </w:rPr>
        <w:t xml:space="preserve"> v. </w:t>
      </w:r>
      <w:r w:rsidRPr="00A06F6A">
        <w:rPr>
          <w:i/>
          <w:sz w:val="18"/>
        </w:rPr>
        <w:t>Hialeah</w:t>
      </w:r>
      <w:r w:rsidRPr="00A06F6A">
        <w:rPr>
          <w:sz w:val="18"/>
        </w:rPr>
        <w:t>, 508</w:t>
      </w:r>
      <w:r w:rsidR="00A06F6A" w:rsidRPr="00A06F6A">
        <w:rPr>
          <w:sz w:val="18"/>
        </w:rPr>
        <w:t xml:space="preserve"> </w:t>
      </w:r>
      <w:r w:rsidR="009F4E3E" w:rsidRPr="00A06F6A">
        <w:rPr>
          <w:sz w:val="18"/>
        </w:rPr>
        <w:t xml:space="preserve">U. S. </w:t>
      </w:r>
      <w:r w:rsidRPr="00A06F6A">
        <w:rPr>
          <w:sz w:val="18"/>
        </w:rPr>
        <w:t>520</w:t>
      </w:r>
      <w:r w:rsidR="00ED30A3" w:rsidRPr="00A06F6A">
        <w:rPr>
          <w:sz w:val="18"/>
        </w:rPr>
        <w:t xml:space="preserve">.  </w:t>
      </w:r>
      <w:r w:rsidRPr="00A06F6A">
        <w:rPr>
          <w:sz w:val="18"/>
        </w:rPr>
        <w:t xml:space="preserve">Factors relevant to the assessment of </w:t>
      </w:r>
      <w:r w:rsidRPr="00A06F6A">
        <w:rPr>
          <w:sz w:val="18"/>
        </w:rPr>
        <w:lastRenderedPageBreak/>
        <w:t xml:space="preserve">governmental neutrality include “the historical background of the decision under challenge, the specific series of events leading to the enactment or official policy in question, and the legislative or administrative history, including contemporaneous statements made by members of the </w:t>
      </w:r>
      <w:r w:rsidR="005447DB" w:rsidRPr="00A06F6A">
        <w:rPr>
          <w:sz w:val="18"/>
        </w:rPr>
        <w:t>decision-</w:t>
      </w:r>
      <w:r w:rsidRPr="00A06F6A">
        <w:rPr>
          <w:sz w:val="18"/>
        </w:rPr>
        <w:t>making body.</w:t>
      </w:r>
      <w:r w:rsidR="00ED30A3" w:rsidRPr="00A06F6A">
        <w:rPr>
          <w:sz w:val="18"/>
        </w:rPr>
        <w:t xml:space="preserve">”  </w:t>
      </w:r>
      <w:r w:rsidRPr="00A06F6A">
        <w:rPr>
          <w:i/>
          <w:sz w:val="18"/>
        </w:rPr>
        <w:t>Id</w:t>
      </w:r>
      <w:r w:rsidRPr="00A06F6A">
        <w:rPr>
          <w:sz w:val="18"/>
        </w:rPr>
        <w:t>., at 540</w:t>
      </w:r>
      <w:r w:rsidR="00ED30A3" w:rsidRPr="00A06F6A">
        <w:rPr>
          <w:sz w:val="18"/>
        </w:rPr>
        <w:t xml:space="preserve">.  </w:t>
      </w:r>
      <w:r w:rsidRPr="00A06F6A">
        <w:rPr>
          <w:sz w:val="18"/>
        </w:rPr>
        <w:t>In view of these factors, the record here demonstrates that the Commission’s consideration of Phillips’ case was neither tolerant nor respectful of his religious beliefs</w:t>
      </w:r>
      <w:r w:rsidR="00ED30A3" w:rsidRPr="00A06F6A">
        <w:rPr>
          <w:sz w:val="18"/>
        </w:rPr>
        <w:t xml:space="preserve">.  </w:t>
      </w:r>
      <w:r w:rsidRPr="00A06F6A">
        <w:rPr>
          <w:sz w:val="18"/>
        </w:rPr>
        <w:t xml:space="preserve">The Commission gave “every appearance,” </w:t>
      </w:r>
      <w:r w:rsidRPr="00A06F6A">
        <w:rPr>
          <w:i/>
          <w:sz w:val="18"/>
        </w:rPr>
        <w:t>id</w:t>
      </w:r>
      <w:r w:rsidRPr="00A06F6A">
        <w:rPr>
          <w:sz w:val="18"/>
        </w:rPr>
        <w:t xml:space="preserve">., at 545, of adjudicating his religious objection based on a negative normative “evaluation of the particular justification” for his objection and the religious grounds for it, </w:t>
      </w:r>
      <w:r w:rsidRPr="00A06F6A">
        <w:rPr>
          <w:i/>
          <w:sz w:val="18"/>
        </w:rPr>
        <w:t>id</w:t>
      </w:r>
      <w:r w:rsidRPr="00A06F6A">
        <w:rPr>
          <w:sz w:val="18"/>
        </w:rPr>
        <w:t xml:space="preserve">., at 537, but government has no </w:t>
      </w:r>
      <w:r w:rsidR="005447DB" w:rsidRPr="00A06F6A">
        <w:rPr>
          <w:sz w:val="18"/>
        </w:rPr>
        <w:t>role in expressing or even sug</w:t>
      </w:r>
      <w:r w:rsidRPr="00A06F6A">
        <w:rPr>
          <w:sz w:val="18"/>
        </w:rPr>
        <w:t>gesting whether the religious ground for Phillips’ conscience-based objection is legitimate or illegitimate</w:t>
      </w:r>
      <w:r w:rsidR="00ED30A3" w:rsidRPr="00A06F6A">
        <w:rPr>
          <w:sz w:val="18"/>
        </w:rPr>
        <w:t xml:space="preserve">.  </w:t>
      </w:r>
      <w:r w:rsidRPr="00A06F6A">
        <w:rPr>
          <w:sz w:val="18"/>
        </w:rPr>
        <w:t>The inference here is thus that Phillips’ religious objection was not considered with the neutrality required by the Free Exercise Clause</w:t>
      </w:r>
      <w:r w:rsidR="00ED30A3" w:rsidRPr="00A06F6A">
        <w:rPr>
          <w:sz w:val="18"/>
        </w:rPr>
        <w:t xml:space="preserve">.  </w:t>
      </w:r>
      <w:r w:rsidRPr="00A06F6A">
        <w:rPr>
          <w:sz w:val="18"/>
        </w:rPr>
        <w:t>The State’s interest could have been weighed against Phillips’ sincere religious objections in a way consistent with the requisite religious neutrality that must be strictly observed</w:t>
      </w:r>
      <w:r w:rsidR="00ED30A3" w:rsidRPr="00A06F6A">
        <w:rPr>
          <w:sz w:val="18"/>
        </w:rPr>
        <w:t xml:space="preserve">.  </w:t>
      </w:r>
      <w:r w:rsidRPr="00A06F6A">
        <w:rPr>
          <w:sz w:val="18"/>
        </w:rPr>
        <w:t xml:space="preserve">But the official expressions of hostility to religion in some of the commissioners’ comments </w:t>
      </w:r>
      <w:r w:rsidR="005447DB" w:rsidRPr="00A06F6A">
        <w:rPr>
          <w:sz w:val="18"/>
        </w:rPr>
        <w:t>were inconsistent with that re</w:t>
      </w:r>
      <w:r w:rsidRPr="00A06F6A">
        <w:rPr>
          <w:sz w:val="18"/>
        </w:rPr>
        <w:t>quirement, and the Commission’s disparate consideration of Phillips’ case compared to the cases of the other bakers suggests the same</w:t>
      </w:r>
      <w:r w:rsidR="00ED30A3" w:rsidRPr="00A06F6A">
        <w:rPr>
          <w:sz w:val="18"/>
        </w:rPr>
        <w:t xml:space="preserve">.  </w:t>
      </w:r>
      <w:r w:rsidRPr="00A06F6A">
        <w:rPr>
          <w:sz w:val="18"/>
        </w:rPr>
        <w:t>Pp</w:t>
      </w:r>
      <w:r w:rsidR="00ED30A3" w:rsidRPr="00A06F6A">
        <w:rPr>
          <w:sz w:val="18"/>
        </w:rPr>
        <w:t xml:space="preserve">.  </w:t>
      </w:r>
      <w:r w:rsidRPr="00A06F6A">
        <w:rPr>
          <w:sz w:val="18"/>
        </w:rPr>
        <w:t>16–18</w:t>
      </w:r>
      <w:proofErr w:type="gramStart"/>
      <w:r w:rsidRPr="00A06F6A">
        <w:rPr>
          <w:sz w:val="18"/>
        </w:rPr>
        <w:t>.</w:t>
      </w:r>
      <w:r w:rsidR="00A06F6A" w:rsidRPr="00A06F6A">
        <w:rPr>
          <w:sz w:val="18"/>
        </w:rPr>
        <w:t xml:space="preserve"> </w:t>
      </w:r>
      <w:proofErr w:type="gramEnd"/>
      <w:r w:rsidRPr="00A06F6A">
        <w:rPr>
          <w:sz w:val="18"/>
        </w:rPr>
        <w:t>370 P</w:t>
      </w:r>
      <w:r w:rsidR="00ED30A3" w:rsidRPr="00A06F6A">
        <w:rPr>
          <w:sz w:val="18"/>
        </w:rPr>
        <w:t xml:space="preserve">.  </w:t>
      </w:r>
      <w:r w:rsidRPr="00A06F6A">
        <w:rPr>
          <w:sz w:val="18"/>
        </w:rPr>
        <w:t>3d 272, reversed.</w:t>
      </w:r>
    </w:p>
    <w:p w:rsidR="009F4E3E" w:rsidRPr="001D6E23" w:rsidRDefault="009F4E3E" w:rsidP="00135255">
      <w:pPr>
        <w:tabs>
          <w:tab w:val="left" w:pos="110"/>
        </w:tabs>
        <w:rPr>
          <w:sz w:val="18"/>
        </w:rPr>
      </w:pPr>
    </w:p>
    <w:p w:rsidR="00521CEC" w:rsidRPr="001D6E23" w:rsidRDefault="00040CEB" w:rsidP="00A06F6A">
      <w:pPr>
        <w:tabs>
          <w:tab w:val="left" w:pos="110"/>
        </w:tabs>
        <w:rPr>
          <w:sz w:val="18"/>
        </w:rPr>
      </w:pPr>
      <w:r w:rsidRPr="001D6E23">
        <w:rPr>
          <w:sz w:val="18"/>
        </w:rPr>
        <w:t>K</w:t>
      </w:r>
      <w:r w:rsidRPr="001D6E23">
        <w:rPr>
          <w:sz w:val="14"/>
        </w:rPr>
        <w:t>ENNEDY</w:t>
      </w:r>
      <w:r w:rsidRPr="001D6E23">
        <w:rPr>
          <w:sz w:val="18"/>
        </w:rPr>
        <w:t>, J., delivered the opinion of the Court, in which R</w:t>
      </w:r>
      <w:r w:rsidRPr="001D6E23">
        <w:rPr>
          <w:sz w:val="14"/>
        </w:rPr>
        <w:t>OBERTS</w:t>
      </w:r>
      <w:r w:rsidRPr="001D6E23">
        <w:rPr>
          <w:sz w:val="18"/>
        </w:rPr>
        <w:t>,</w:t>
      </w:r>
      <w:r w:rsidR="00A06F6A">
        <w:rPr>
          <w:sz w:val="18"/>
        </w:rPr>
        <w:t xml:space="preserve"> </w:t>
      </w:r>
      <w:r w:rsidRPr="001D6E23">
        <w:rPr>
          <w:sz w:val="18"/>
        </w:rPr>
        <w:t>C</w:t>
      </w:r>
      <w:r w:rsidR="00A06F6A">
        <w:rPr>
          <w:sz w:val="18"/>
        </w:rPr>
        <w:t xml:space="preserve">. </w:t>
      </w:r>
      <w:r w:rsidRPr="001D6E23">
        <w:rPr>
          <w:sz w:val="18"/>
        </w:rPr>
        <w:t>J., and B</w:t>
      </w:r>
      <w:r w:rsidRPr="001D6E23">
        <w:rPr>
          <w:sz w:val="14"/>
        </w:rPr>
        <w:t>REYER</w:t>
      </w:r>
      <w:r w:rsidRPr="001D6E23">
        <w:rPr>
          <w:sz w:val="18"/>
        </w:rPr>
        <w:t>, A</w:t>
      </w:r>
      <w:r w:rsidRPr="001D6E23">
        <w:rPr>
          <w:sz w:val="14"/>
        </w:rPr>
        <w:t>LITO</w:t>
      </w:r>
      <w:r w:rsidRPr="001D6E23">
        <w:rPr>
          <w:sz w:val="18"/>
        </w:rPr>
        <w:t>, K</w:t>
      </w:r>
      <w:r w:rsidRPr="001D6E23">
        <w:rPr>
          <w:sz w:val="14"/>
        </w:rPr>
        <w:t>AGAN</w:t>
      </w:r>
      <w:r w:rsidRPr="001D6E23">
        <w:rPr>
          <w:sz w:val="18"/>
        </w:rPr>
        <w:t>, and G</w:t>
      </w:r>
      <w:r w:rsidRPr="001D6E23">
        <w:rPr>
          <w:sz w:val="14"/>
        </w:rPr>
        <w:t>ORSUCH</w:t>
      </w:r>
      <w:r w:rsidRPr="001D6E23">
        <w:rPr>
          <w:sz w:val="18"/>
        </w:rPr>
        <w:t xml:space="preserve">, </w:t>
      </w:r>
      <w:r w:rsidR="00ED30A3" w:rsidRPr="001D6E23">
        <w:rPr>
          <w:sz w:val="18"/>
        </w:rPr>
        <w:t xml:space="preserve">JJ.  </w:t>
      </w:r>
      <w:proofErr w:type="gramStart"/>
      <w:r w:rsidRPr="001D6E23">
        <w:rPr>
          <w:sz w:val="18"/>
        </w:rPr>
        <w:t>joined</w:t>
      </w:r>
      <w:proofErr w:type="gramEnd"/>
      <w:r w:rsidR="00ED30A3" w:rsidRPr="001D6E23">
        <w:rPr>
          <w:sz w:val="18"/>
        </w:rPr>
        <w:t xml:space="preserve">.  </w:t>
      </w:r>
      <w:r w:rsidRPr="001D6E23">
        <w:rPr>
          <w:sz w:val="18"/>
        </w:rPr>
        <w:t>K</w:t>
      </w:r>
      <w:r w:rsidRPr="001D6E23">
        <w:rPr>
          <w:sz w:val="14"/>
        </w:rPr>
        <w:t>AGAN</w:t>
      </w:r>
      <w:r w:rsidRPr="001D6E23">
        <w:rPr>
          <w:sz w:val="18"/>
        </w:rPr>
        <w:t>, J., filed a concurring opinion, in which B</w:t>
      </w:r>
      <w:r w:rsidRPr="001D6E23">
        <w:rPr>
          <w:sz w:val="14"/>
        </w:rPr>
        <w:t>REYER</w:t>
      </w:r>
      <w:r w:rsidRPr="001D6E23">
        <w:rPr>
          <w:sz w:val="18"/>
        </w:rPr>
        <w:t>, J., joined</w:t>
      </w:r>
      <w:r w:rsidR="00ED30A3" w:rsidRPr="001D6E23">
        <w:rPr>
          <w:sz w:val="18"/>
        </w:rPr>
        <w:t xml:space="preserve">.  </w:t>
      </w:r>
      <w:r w:rsidRPr="001D6E23">
        <w:rPr>
          <w:sz w:val="18"/>
        </w:rPr>
        <w:t>G</w:t>
      </w:r>
      <w:r w:rsidRPr="001D6E23">
        <w:rPr>
          <w:sz w:val="14"/>
        </w:rPr>
        <w:t>ORSUCH</w:t>
      </w:r>
      <w:r w:rsidRPr="001D6E23">
        <w:rPr>
          <w:sz w:val="18"/>
        </w:rPr>
        <w:t>, J., filed a concurring opinion, in which A</w:t>
      </w:r>
      <w:r w:rsidRPr="001D6E23">
        <w:rPr>
          <w:sz w:val="14"/>
        </w:rPr>
        <w:t>LITO</w:t>
      </w:r>
      <w:r w:rsidRPr="001D6E23">
        <w:rPr>
          <w:sz w:val="18"/>
        </w:rPr>
        <w:t>, J., joined</w:t>
      </w:r>
      <w:r w:rsidR="00ED30A3" w:rsidRPr="001D6E23">
        <w:rPr>
          <w:sz w:val="18"/>
        </w:rPr>
        <w:t xml:space="preserve">.  </w:t>
      </w:r>
      <w:r w:rsidRPr="001D6E23">
        <w:rPr>
          <w:sz w:val="18"/>
        </w:rPr>
        <w:t>T</w:t>
      </w:r>
      <w:r w:rsidRPr="001D6E23">
        <w:rPr>
          <w:sz w:val="14"/>
        </w:rPr>
        <w:t>HOMAS</w:t>
      </w:r>
      <w:r w:rsidRPr="001D6E23">
        <w:rPr>
          <w:sz w:val="18"/>
        </w:rPr>
        <w:t>, J., filed an opinion concurring in part and concurring in the judgment, in which G</w:t>
      </w:r>
      <w:r w:rsidRPr="001D6E23">
        <w:rPr>
          <w:sz w:val="14"/>
        </w:rPr>
        <w:t>ORSUCH</w:t>
      </w:r>
      <w:r w:rsidRPr="001D6E23">
        <w:rPr>
          <w:sz w:val="18"/>
        </w:rPr>
        <w:t>, J., joined</w:t>
      </w:r>
      <w:r w:rsidR="00ED30A3" w:rsidRPr="001D6E23">
        <w:rPr>
          <w:sz w:val="18"/>
        </w:rPr>
        <w:t xml:space="preserve">.  </w:t>
      </w:r>
      <w:r w:rsidRPr="001D6E23">
        <w:rPr>
          <w:sz w:val="18"/>
        </w:rPr>
        <w:t>G</w:t>
      </w:r>
      <w:r w:rsidRPr="001D6E23">
        <w:rPr>
          <w:sz w:val="14"/>
        </w:rPr>
        <w:t>INSBURG</w:t>
      </w:r>
      <w:r w:rsidRPr="001D6E23">
        <w:rPr>
          <w:sz w:val="18"/>
        </w:rPr>
        <w:t>, J., filed a dissenting opinion, in which S</w:t>
      </w:r>
      <w:r w:rsidRPr="001D6E23">
        <w:rPr>
          <w:sz w:val="14"/>
        </w:rPr>
        <w:t>OTOMAYOR</w:t>
      </w:r>
      <w:r w:rsidRPr="001D6E23">
        <w:rPr>
          <w:sz w:val="18"/>
        </w:rPr>
        <w:t>, J., joined.</w:t>
      </w:r>
    </w:p>
    <w:sectPr w:rsidR="00521CEC" w:rsidRPr="001D6E23" w:rsidSect="009552B3">
      <w:type w:val="continuous"/>
      <w:pgSz w:w="12240" w:h="15840"/>
      <w:pgMar w:top="720" w:right="800" w:bottom="720" w:left="720" w:header="720" w:footer="720" w:gutter="0"/>
      <w:cols w:num="2"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82D80"/>
    <w:multiLevelType w:val="hybridMultilevel"/>
    <w:tmpl w:val="9768E06E"/>
    <w:lvl w:ilvl="0" w:tplc="784A3BCC">
      <w:start w:val="1"/>
      <w:numFmt w:val="lowerLetter"/>
      <w:lvlText w:val="(%1)"/>
      <w:lvlJc w:val="left"/>
      <w:pPr>
        <w:ind w:left="1584" w:hanging="271"/>
      </w:pPr>
      <w:rPr>
        <w:rFonts w:ascii="Century Schoolbook" w:eastAsia="Century Schoolbook" w:hAnsi="Century Schoolbook" w:cs="Century Schoolbook" w:hint="default"/>
        <w:spacing w:val="-3"/>
        <w:w w:val="100"/>
        <w:sz w:val="18"/>
        <w:szCs w:val="18"/>
      </w:rPr>
    </w:lvl>
    <w:lvl w:ilvl="1" w:tplc="8E6A1956">
      <w:numFmt w:val="bullet"/>
      <w:lvlText w:val="•"/>
      <w:lvlJc w:val="left"/>
      <w:pPr>
        <w:ind w:left="2302" w:hanging="271"/>
      </w:pPr>
      <w:rPr>
        <w:rFonts w:hint="default"/>
      </w:rPr>
    </w:lvl>
    <w:lvl w:ilvl="2" w:tplc="439C3F46">
      <w:numFmt w:val="bullet"/>
      <w:lvlText w:val="•"/>
      <w:lvlJc w:val="left"/>
      <w:pPr>
        <w:ind w:left="3024" w:hanging="271"/>
      </w:pPr>
      <w:rPr>
        <w:rFonts w:hint="default"/>
      </w:rPr>
    </w:lvl>
    <w:lvl w:ilvl="3" w:tplc="E2DE1FCA">
      <w:numFmt w:val="bullet"/>
      <w:lvlText w:val="•"/>
      <w:lvlJc w:val="left"/>
      <w:pPr>
        <w:ind w:left="3746" w:hanging="271"/>
      </w:pPr>
      <w:rPr>
        <w:rFonts w:hint="default"/>
      </w:rPr>
    </w:lvl>
    <w:lvl w:ilvl="4" w:tplc="0448AE20">
      <w:numFmt w:val="bullet"/>
      <w:lvlText w:val="•"/>
      <w:lvlJc w:val="left"/>
      <w:pPr>
        <w:ind w:left="4468" w:hanging="271"/>
      </w:pPr>
      <w:rPr>
        <w:rFonts w:hint="default"/>
      </w:rPr>
    </w:lvl>
    <w:lvl w:ilvl="5" w:tplc="85E4EDEE">
      <w:numFmt w:val="bullet"/>
      <w:lvlText w:val="•"/>
      <w:lvlJc w:val="left"/>
      <w:pPr>
        <w:ind w:left="5190" w:hanging="271"/>
      </w:pPr>
      <w:rPr>
        <w:rFonts w:hint="default"/>
      </w:rPr>
    </w:lvl>
    <w:lvl w:ilvl="6" w:tplc="5AFA8762">
      <w:numFmt w:val="bullet"/>
      <w:lvlText w:val="•"/>
      <w:lvlJc w:val="left"/>
      <w:pPr>
        <w:ind w:left="5912" w:hanging="271"/>
      </w:pPr>
      <w:rPr>
        <w:rFonts w:hint="default"/>
      </w:rPr>
    </w:lvl>
    <w:lvl w:ilvl="7" w:tplc="21F4163A">
      <w:numFmt w:val="bullet"/>
      <w:lvlText w:val="•"/>
      <w:lvlJc w:val="left"/>
      <w:pPr>
        <w:ind w:left="6634" w:hanging="271"/>
      </w:pPr>
      <w:rPr>
        <w:rFonts w:hint="default"/>
      </w:rPr>
    </w:lvl>
    <w:lvl w:ilvl="8" w:tplc="F51CD82E">
      <w:numFmt w:val="bullet"/>
      <w:lvlText w:val="•"/>
      <w:lvlJc w:val="left"/>
      <w:pPr>
        <w:ind w:left="7356" w:hanging="27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5"/>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CEC"/>
    <w:rsid w:val="00040CEB"/>
    <w:rsid w:val="00135255"/>
    <w:rsid w:val="0017477A"/>
    <w:rsid w:val="001B1C7A"/>
    <w:rsid w:val="001D6E23"/>
    <w:rsid w:val="00213A03"/>
    <w:rsid w:val="002B3995"/>
    <w:rsid w:val="002D3FEE"/>
    <w:rsid w:val="00314F1A"/>
    <w:rsid w:val="0033572F"/>
    <w:rsid w:val="00352113"/>
    <w:rsid w:val="00353120"/>
    <w:rsid w:val="003605CE"/>
    <w:rsid w:val="00396990"/>
    <w:rsid w:val="003A2754"/>
    <w:rsid w:val="00430E0C"/>
    <w:rsid w:val="00470E6D"/>
    <w:rsid w:val="004E6902"/>
    <w:rsid w:val="00521CEC"/>
    <w:rsid w:val="00535AD3"/>
    <w:rsid w:val="005447DB"/>
    <w:rsid w:val="0056173B"/>
    <w:rsid w:val="006251CF"/>
    <w:rsid w:val="006B51C0"/>
    <w:rsid w:val="006E62ED"/>
    <w:rsid w:val="007502F3"/>
    <w:rsid w:val="009552B3"/>
    <w:rsid w:val="009D23CE"/>
    <w:rsid w:val="009F4E3E"/>
    <w:rsid w:val="00A06F6A"/>
    <w:rsid w:val="00A20625"/>
    <w:rsid w:val="00AD214D"/>
    <w:rsid w:val="00B0521F"/>
    <w:rsid w:val="00B24139"/>
    <w:rsid w:val="00B54E65"/>
    <w:rsid w:val="00B93BC6"/>
    <w:rsid w:val="00BA4664"/>
    <w:rsid w:val="00BB20A6"/>
    <w:rsid w:val="00BC5F7F"/>
    <w:rsid w:val="00BC7B0F"/>
    <w:rsid w:val="00CD6233"/>
    <w:rsid w:val="00D150D6"/>
    <w:rsid w:val="00D51C20"/>
    <w:rsid w:val="00D54B46"/>
    <w:rsid w:val="00D62E0A"/>
    <w:rsid w:val="00D76290"/>
    <w:rsid w:val="00D93DA7"/>
    <w:rsid w:val="00DD4E2C"/>
    <w:rsid w:val="00DE7A30"/>
    <w:rsid w:val="00E027A1"/>
    <w:rsid w:val="00E06B84"/>
    <w:rsid w:val="00ED30A3"/>
    <w:rsid w:val="00F07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entury Schoolbook" w:eastAsia="Century Schoolbook" w:hAnsi="Century Schoolbook" w:cs="Century Schoolbook"/>
    </w:rPr>
  </w:style>
  <w:style w:type="paragraph" w:styleId="Heading1">
    <w:name w:val="heading 1"/>
    <w:basedOn w:val="Normal"/>
    <w:uiPriority w:val="1"/>
    <w:qFormat/>
    <w:pPr>
      <w:spacing w:before="155"/>
      <w:ind w:left="1233" w:right="1233"/>
      <w:jc w:val="center"/>
      <w:outlineLvl w:val="0"/>
    </w:pPr>
    <w:rPr>
      <w:rFonts w:ascii="Times New Roman" w:eastAsia="Times New Roman" w:hAnsi="Times New Roman" w:cs="Times New Roman"/>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584" w:right="1400" w:firstLine="18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entury Schoolbook" w:eastAsia="Century Schoolbook" w:hAnsi="Century Schoolbook" w:cs="Century Schoolbook"/>
    </w:rPr>
  </w:style>
  <w:style w:type="paragraph" w:styleId="Heading1">
    <w:name w:val="heading 1"/>
    <w:basedOn w:val="Normal"/>
    <w:uiPriority w:val="1"/>
    <w:qFormat/>
    <w:pPr>
      <w:spacing w:before="155"/>
      <w:ind w:left="1233" w:right="1233"/>
      <w:jc w:val="center"/>
      <w:outlineLvl w:val="0"/>
    </w:pPr>
    <w:rPr>
      <w:rFonts w:ascii="Times New Roman" w:eastAsia="Times New Roman" w:hAnsi="Times New Roman" w:cs="Times New Roman"/>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584" w:right="1400" w:firstLine="18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6D165-DF73-4067-9C5A-B888EE48F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1232</Words>
  <Characters>7029</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16-111 Masterpiece Cakeshop, Ltd. v. Colorado Civil Rights Comm'n (06/04/2018)</vt:lpstr>
      <vt:lpstr/>
      <vt:lpstr>SUPREME COURT OF THE UNITED STATES</vt:lpstr>
    </vt:vector>
  </TitlesOfParts>
  <Company/>
  <LinksUpToDate>false</LinksUpToDate>
  <CharactersWithSpaces>8245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16-111 Masterpiece Cakeshop, Ltd. v. Colorado Civil Rights Comm'n (06/04/2018)</dc:title>
  <dc:creator>Jo-Ann</dc:creator>
  <cp:lastModifiedBy>Jo-Ann M. Adams</cp:lastModifiedBy>
  <cp:revision>5</cp:revision>
  <dcterms:created xsi:type="dcterms:W3CDTF">2018-08-09T08:08:00Z</dcterms:created>
  <dcterms:modified xsi:type="dcterms:W3CDTF">2018-08-09T09:04:00Z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2018-06-01T00:00:00Z</vt:filetime>
  </property>
  <property fmtid="{D5CDD505-2E9C-101B-9397-08002B2CF9AE}" pid="3" name="Creator">
    <vt:lpwstr>PScript5.dll Version 5.2.2</vt:lpwstr>
  </property>
  <property fmtid="{D5CDD505-2E9C-101B-9397-08002B2CF9AE}" pid="4" name="LastSaved">
    <vt:filetime>2018-08-09T00:00:00Z</vt:filetime>
  </property>
</Properties>
</file>